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5AEC" w14:textId="77777777" w:rsidR="00B545D2" w:rsidRDefault="00B545D2">
      <w:pPr>
        <w:pStyle w:val="NormalWeb"/>
        <w:shd w:val="clear" w:color="auto" w:fill="FFFFFF"/>
        <w:spacing w:beforeAutospacing="0" w:after="0" w:afterAutospacing="0" w:line="336" w:lineRule="atLeast"/>
      </w:pPr>
    </w:p>
    <w:p w14:paraId="197BCFBA" w14:textId="77777777" w:rsidR="00B545D2" w:rsidRDefault="00000000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 Nº /2026</w:t>
      </w:r>
    </w:p>
    <w:p w14:paraId="3DDCCAB1" w14:textId="77777777" w:rsidR="00B545D2" w:rsidRDefault="00B545D2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5A58C403" w14:textId="77777777" w:rsidR="00B545D2" w:rsidRDefault="00B545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48D85" w14:textId="77777777" w:rsidR="00B545D2" w:rsidRDefault="00000000">
      <w:pPr>
        <w:pStyle w:val="NormalWeb"/>
        <w:spacing w:beforeAutospacing="0" w:after="0" w:afterAutospacing="0"/>
      </w:pPr>
      <w:r>
        <w:rPr>
          <w:rStyle w:val="Forte"/>
        </w:rPr>
        <w:t xml:space="preserve">De: </w:t>
      </w:r>
      <w:r>
        <w:t>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</w:t>
      </w:r>
    </w:p>
    <w:p w14:paraId="1E95E669" w14:textId="77777777" w:rsidR="00B545D2" w:rsidRDefault="00000000">
      <w:pPr>
        <w:pStyle w:val="NormalWeb"/>
        <w:spacing w:beforeAutospacing="0" w:after="0" w:afterAutospacing="0"/>
      </w:pPr>
      <w:r>
        <w:rPr>
          <w:rStyle w:val="Forte"/>
        </w:rPr>
        <w:t xml:space="preserve">Para: </w:t>
      </w:r>
      <w:r>
        <w:t xml:space="preserve">Prefeitura de Faria Lemos </w:t>
      </w:r>
      <w:r>
        <w:br/>
      </w:r>
      <w:r>
        <w:rPr>
          <w:rStyle w:val="Forte"/>
        </w:rPr>
        <w:t xml:space="preserve">C/C.: </w:t>
      </w:r>
      <w:r>
        <w:t>Gabinete do Prefeito</w:t>
      </w:r>
      <w:r>
        <w:br/>
      </w:r>
      <w:r>
        <w:rPr>
          <w:rStyle w:val="Forte"/>
        </w:rPr>
        <w:t xml:space="preserve">Assunto: </w:t>
      </w:r>
      <w:r>
        <w:t>Solicitação (faz)</w:t>
      </w:r>
      <w:r>
        <w:br/>
      </w:r>
      <w:r>
        <w:rPr>
          <w:rStyle w:val="Forte"/>
        </w:rPr>
        <w:t>Data:</w:t>
      </w:r>
      <w:r>
        <w:rPr>
          <w:rStyle w:val="Forte"/>
          <w:b w:val="0"/>
          <w:bCs w:val="0"/>
        </w:rPr>
        <w:t>30</w:t>
      </w:r>
      <w:r>
        <w:t>/03/2026</w:t>
      </w:r>
    </w:p>
    <w:p w14:paraId="77B4FB5F" w14:textId="77777777" w:rsidR="00B545D2" w:rsidRDefault="00B545D2">
      <w:pPr>
        <w:pStyle w:val="NormalWeb"/>
        <w:spacing w:beforeAutospacing="0" w:after="0" w:afterAutospacing="0"/>
      </w:pPr>
    </w:p>
    <w:p w14:paraId="751C524F" w14:textId="77777777" w:rsidR="00B545D2" w:rsidRDefault="00B545D2">
      <w:pPr>
        <w:pStyle w:val="NormalWeb"/>
        <w:spacing w:beforeAutospacing="0" w:after="0" w:afterAutospacing="0"/>
      </w:pPr>
    </w:p>
    <w:p w14:paraId="5A8EA8FE" w14:textId="5DBECADB" w:rsidR="00B545D2" w:rsidRDefault="00000000">
      <w:pPr>
        <w:pStyle w:val="NormalWeb"/>
        <w:spacing w:beforeAutospacing="0" w:after="0" w:afterAutospacing="0"/>
        <w:jc w:val="both"/>
      </w:pPr>
      <w:r>
        <w:t xml:space="preserve">Indico ao Chefe do Poder Executivo Municipal, nos termos do artigo 88, Inc. III e art. 116 do Regimento Interno, que determine à Secretaria Municipal de Fazenda, em conjunto com as assessorias jurídica e contábil, a implementação de uma </w:t>
      </w:r>
      <w:r w:rsidR="002342BF">
        <w:t>metodologia de</w:t>
      </w:r>
      <w:r>
        <w:t xml:space="preserve"> mensuração individualizada de passivos contingentes e riscos fiscais, visando o aprimoramento do Anexo de Riscos Fiscais (ARF/LDO) e um melhor dimensionamento da Reserva de Contingência para as futuras Leis Orçamentárias Anuais (LOA).</w:t>
      </w:r>
    </w:p>
    <w:p w14:paraId="2DF601B3" w14:textId="77777777" w:rsidR="00B545D2" w:rsidRDefault="00B545D2">
      <w:pPr>
        <w:pStyle w:val="NormalWeb"/>
        <w:spacing w:beforeAutospacing="0" w:after="0" w:afterAutospacing="0"/>
        <w:jc w:val="both"/>
      </w:pPr>
    </w:p>
    <w:p w14:paraId="51ABF94E" w14:textId="77777777" w:rsidR="00B545D2" w:rsidRDefault="00B545D2">
      <w:pPr>
        <w:pStyle w:val="NormalWeb"/>
        <w:spacing w:beforeAutospacing="0" w:after="0" w:afterAutospacing="0"/>
        <w:jc w:val="both"/>
      </w:pPr>
    </w:p>
    <w:p w14:paraId="4D8817E7" w14:textId="77777777" w:rsidR="00B545D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7909C857" w14:textId="77777777" w:rsidR="00B545D2" w:rsidRDefault="00B5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57A021" w14:textId="77777777" w:rsidR="00B545D2" w:rsidRDefault="00B5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A6C277" w14:textId="77777777" w:rsidR="00B545D2" w:rsidRDefault="00000000">
      <w:pPr>
        <w:pStyle w:val="Corpodetexto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MCASP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LRF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Reserva de Contingência deve ser destinada ao atendimento de passivos contingentes e outros riscos fiscais. Portanto, seu montante não deve ser fruto de uma escolha arbitrária, mas sim de um planejamento baseado 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de Riscos Fiscais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dimensionando o fundo para cobrir eventos imprevistos.</w:t>
      </w:r>
    </w:p>
    <w:p w14:paraId="637F3D13" w14:textId="77777777" w:rsidR="00B545D2" w:rsidRDefault="00000000">
      <w:pPr>
        <w:pStyle w:val="Corpodetexto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Apesar de não ser uma prática comum em municípios de pequeno e médio porte, a mensuração de passivos contingentes (como processos judiciais trabalhistas, cíveis ou precatórios iminentes) é perfeitamente exequível e demostra maturidade da gestão. Para tanto, basta a sistematização de informações coadunadas entre o setor jurídico e a contabilidade (como a sugerida no anexo abaixo). Enquanto o corpo jurídico avalia a probabilidade de perda das ações, a contadoria traduz esses riscos em impacto financeiro e cronograma de desembolso. O objetivo central é que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LOA 2027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apresente uma Reserva de Contingência baseada em evidências, em conformidade com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MCASP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de Responsabilidade Fiscal (LRF)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356E6AF" w14:textId="77777777" w:rsidR="00B545D2" w:rsidRDefault="00000000">
      <w:pPr>
        <w:pStyle w:val="Corpodetexto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Essa integração permite que o município não imobilize recursos excessivos na reserva — que poderiam estar em investimentos — nem seja surpreendido por obrigações judiciais que comprometam a prestação dos serviços planejados como ocorreu com a FEFAL em 2025.</w:t>
      </w:r>
    </w:p>
    <w:p w14:paraId="57DC86D0" w14:textId="77777777" w:rsidR="00B545D2" w:rsidRDefault="00B545D2">
      <w:pPr>
        <w:pStyle w:val="Corpodetexto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2CBF17" w14:textId="77777777" w:rsidR="00B545D2" w:rsidRDefault="00B545D2">
      <w:pPr>
        <w:pStyle w:val="Corpodetexto"/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ABB3EA" w14:textId="77777777" w:rsidR="00B545D2" w:rsidRDefault="00B545D2">
      <w:pPr>
        <w:pStyle w:val="Horizontal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21FAB0" w14:textId="77777777" w:rsidR="00B545D2" w:rsidRDefault="00000000">
      <w:pPr>
        <w:pStyle w:val="Ttulo2"/>
        <w:spacing w:before="0" w:after="140" w:line="273" w:lineRule="auto"/>
        <w:jc w:val="center"/>
        <w:rPr>
          <w:rFonts w:ascii="Google Sans;sans-serif" w:hAnsi="Google Sans;sans-serif"/>
          <w:sz w:val="24"/>
        </w:rPr>
      </w:pPr>
      <w:r>
        <w:rPr>
          <w:rFonts w:ascii="Google Sans;sans-serif" w:hAnsi="Google Sans;sans-serif"/>
          <w:sz w:val="24"/>
        </w:rPr>
        <w:t>Anexo à Indicação</w:t>
      </w:r>
    </w:p>
    <w:p w14:paraId="419B143E" w14:textId="77777777" w:rsidR="00B545D2" w:rsidRDefault="00000000">
      <w:pPr>
        <w:pStyle w:val="Ttulo2"/>
        <w:spacing w:before="0" w:after="140" w:line="273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Metodologia para Orçar Probabilidade e Impacto</w:t>
      </w:r>
    </w:p>
    <w:p w14:paraId="75647459" w14:textId="77777777" w:rsidR="00B545D2" w:rsidRDefault="00000000">
      <w:pPr>
        <w:pStyle w:val="Corpodetexto"/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facilitar o trabalho entre o contador e o advogado, sugere-se a adoção da Matriz de Riscos Fiscais. O método consiste em classificar cada evento (ex: uma ação judicial de um servidor) em três categorias de probabilidade, conforme os padrões da contabilidade aplicada ao setor público (MCASP):</w:t>
      </w:r>
    </w:p>
    <w:p w14:paraId="29D074C4" w14:textId="77777777" w:rsidR="00B545D2" w:rsidRDefault="00000000">
      <w:pPr>
        <w:pStyle w:val="Ttulo3"/>
        <w:spacing w:before="0" w:after="140"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>1. Classificação de Probabilidade (Critério Jurídico)</w:t>
      </w:r>
    </w:p>
    <w:p w14:paraId="3D1C558D" w14:textId="77777777" w:rsidR="00B545D2" w:rsidRDefault="00000000">
      <w:pPr>
        <w:pStyle w:val="Corpodetexto"/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corpo jurídico deve classificar cada risco de perda conforme a escala de probabilidade do MCASP:</w:t>
      </w:r>
    </w:p>
    <w:p w14:paraId="030ACD9B" w14:textId="77777777" w:rsidR="00B545D2" w:rsidRDefault="00000000">
      <w:pPr>
        <w:pStyle w:val="Corpodetexto"/>
        <w:numPr>
          <w:ilvl w:val="0"/>
          <w:numId w:val="1"/>
        </w:numPr>
        <w:tabs>
          <w:tab w:val="clear" w:pos="707"/>
          <w:tab w:val="left" w:pos="0"/>
        </w:tabs>
        <w:spacing w:line="273" w:lineRule="auto"/>
      </w:pPr>
      <w:r>
        <w:rPr>
          <w:rFonts w:ascii="Times New Roman" w:hAnsi="Times New Roman"/>
          <w:b/>
        </w:rPr>
        <w:t>Provável (Perda &gt; 50%):</w:t>
      </w:r>
      <w:r>
        <w:rPr>
          <w:rFonts w:ascii="Times New Roman" w:hAnsi="Times New Roman"/>
        </w:rPr>
        <w:t xml:space="preserve"> O evento exige o registro de uma </w:t>
      </w:r>
      <w:r>
        <w:rPr>
          <w:rFonts w:ascii="Times New Roman" w:hAnsi="Times New Roman"/>
          <w:b/>
        </w:rPr>
        <w:t>Provisão</w:t>
      </w:r>
      <w:r>
        <w:rPr>
          <w:rFonts w:ascii="Times New Roman" w:hAnsi="Times New Roman"/>
        </w:rPr>
        <w:t xml:space="preserve"> no Passivo Patrimonial e deve ser a prioridade máxima da </w:t>
      </w:r>
      <w:r>
        <w:rPr>
          <w:rFonts w:ascii="Times New Roman" w:hAnsi="Times New Roman"/>
          <w:b/>
        </w:rPr>
        <w:t>Reserva de Contingência</w:t>
      </w:r>
      <w:r>
        <w:rPr>
          <w:rFonts w:ascii="Times New Roman" w:hAnsi="Times New Roman"/>
        </w:rPr>
        <w:t xml:space="preserve"> na LOA. (Sugestão técnica: usar valores fixos como </w:t>
      </w:r>
      <w:r>
        <w:rPr>
          <w:rFonts w:ascii="Times New Roman" w:hAnsi="Times New Roman"/>
          <w:b/>
        </w:rPr>
        <w:t>75% ou 100%</w:t>
      </w:r>
      <w:r>
        <w:rPr>
          <w:rFonts w:ascii="Times New Roman" w:hAnsi="Times New Roman"/>
        </w:rPr>
        <w:t xml:space="preserve"> do valor na reserva).</w:t>
      </w:r>
    </w:p>
    <w:p w14:paraId="507E5C72" w14:textId="77777777" w:rsidR="00B545D2" w:rsidRDefault="00000000">
      <w:pPr>
        <w:pStyle w:val="Corpodetexto"/>
        <w:numPr>
          <w:ilvl w:val="0"/>
          <w:numId w:val="1"/>
        </w:numPr>
        <w:tabs>
          <w:tab w:val="clear" w:pos="707"/>
          <w:tab w:val="left" w:pos="0"/>
        </w:tabs>
        <w:spacing w:line="273" w:lineRule="auto"/>
      </w:pPr>
      <w:r>
        <w:rPr>
          <w:rFonts w:ascii="Times New Roman" w:hAnsi="Times New Roman"/>
          <w:b/>
        </w:rPr>
        <w:t>Possível (Perda entre 10% e 50%):</w:t>
      </w:r>
      <w:r>
        <w:rPr>
          <w:rFonts w:ascii="Times New Roman" w:hAnsi="Times New Roman"/>
        </w:rPr>
        <w:t xml:space="preserve"> Não vira provisão no balanço, mas deve obrigatoriamente constar no </w:t>
      </w:r>
      <w:r>
        <w:rPr>
          <w:rFonts w:ascii="Times New Roman" w:hAnsi="Times New Roman"/>
          <w:b/>
        </w:rPr>
        <w:t xml:space="preserve">Anexo de Riscos Fiscais (LDO) </w:t>
      </w:r>
      <w:r>
        <w:rPr>
          <w:rFonts w:ascii="Times New Roman" w:hAnsi="Times New Roman"/>
        </w:rPr>
        <w:t xml:space="preserve">mesmo que como informação consolidada. A reserva deve cobrir uma fração proporcional ao </w:t>
      </w:r>
      <w:proofErr w:type="gramStart"/>
      <w:r>
        <w:rPr>
          <w:rFonts w:ascii="Times New Roman" w:hAnsi="Times New Roman"/>
        </w:rPr>
        <w:t>risco.(</w:t>
      </w:r>
      <w:proofErr w:type="gramEnd"/>
      <w:r>
        <w:rPr>
          <w:rFonts w:ascii="Times New Roman" w:hAnsi="Times New Roman"/>
        </w:rPr>
        <w:t xml:space="preserve">Sugestão técnica: usar valores fixos como </w:t>
      </w:r>
      <w:r>
        <w:rPr>
          <w:rFonts w:ascii="Times New Roman" w:hAnsi="Times New Roman"/>
          <w:b/>
        </w:rPr>
        <w:t xml:space="preserve">10%, 25% ou 50% </w:t>
      </w:r>
      <w:r>
        <w:rPr>
          <w:rFonts w:ascii="Times New Roman" w:hAnsi="Times New Roman"/>
        </w:rPr>
        <w:t>do valor na reserva).</w:t>
      </w:r>
    </w:p>
    <w:p w14:paraId="1AAD508B" w14:textId="77777777" w:rsidR="00B545D2" w:rsidRDefault="00000000">
      <w:pPr>
        <w:pStyle w:val="Corpodetexto"/>
        <w:numPr>
          <w:ilvl w:val="0"/>
          <w:numId w:val="1"/>
        </w:numPr>
        <w:tabs>
          <w:tab w:val="clear" w:pos="707"/>
          <w:tab w:val="left" w:pos="0"/>
        </w:tabs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Remota (Perda &lt; 10%):</w:t>
      </w:r>
      <w:r>
        <w:rPr>
          <w:rFonts w:ascii="Times New Roman" w:hAnsi="Times New Roman"/>
        </w:rPr>
        <w:t xml:space="preserve"> Não exige reserva orçamentária nem registro contábil, apenas o monitoramento jurídico periódico.</w:t>
      </w:r>
    </w:p>
    <w:p w14:paraId="05F7A7C9" w14:textId="77777777" w:rsidR="00B545D2" w:rsidRDefault="00000000">
      <w:pPr>
        <w:pStyle w:val="Ttulo3"/>
        <w:spacing w:before="0" w:after="140"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Mensuração do Impacto </w:t>
      </w:r>
    </w:p>
    <w:p w14:paraId="08EC81D8" w14:textId="77777777" w:rsidR="00B545D2" w:rsidRDefault="00000000">
      <w:pPr>
        <w:pStyle w:val="Corpodetexto"/>
        <w:spacing w:line="273" w:lineRule="auto"/>
      </w:pPr>
      <w:r>
        <w:rPr>
          <w:rFonts w:ascii="Times New Roman" w:hAnsi="Times New Roman"/>
        </w:rPr>
        <w:t xml:space="preserve">O contador, com base nos valores atualizados pelo advogado, aplica o cálculo do </w:t>
      </w:r>
      <w:r>
        <w:rPr>
          <w:rFonts w:ascii="Times New Roman" w:hAnsi="Times New Roman"/>
          <w:b/>
        </w:rPr>
        <w:t>Valor estimado</w:t>
      </w:r>
      <w:r>
        <w:rPr>
          <w:rFonts w:ascii="Times New Roman" w:hAnsi="Times New Roman"/>
        </w:rPr>
        <w:t>. Esse método evita que o orçamento fique "inchado" ou "vazio":</w:t>
      </w:r>
    </w:p>
    <w:p w14:paraId="743DFB4E" w14:textId="77777777" w:rsidR="00B545D2" w:rsidRDefault="00000000">
      <w:pPr>
        <w:pStyle w:val="Corpodetexto"/>
        <w:spacing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Reserva Sugerida = Valor do Risco * Percentual de Probabilidade|</w:t>
      </w:r>
    </w:p>
    <w:p w14:paraId="08DED640" w14:textId="77777777" w:rsidR="00B545D2" w:rsidRDefault="00000000">
      <w:pPr>
        <w:pStyle w:val="Quotations"/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Exemplo Prático:</w:t>
      </w:r>
      <w:r>
        <w:rPr>
          <w:rFonts w:ascii="Times New Roman" w:hAnsi="Times New Roman"/>
        </w:rPr>
        <w:t xml:space="preserve"> Uma ação judicial de </w:t>
      </w:r>
      <w:r>
        <w:rPr>
          <w:rFonts w:ascii="Times New Roman" w:hAnsi="Times New Roman"/>
          <w:b/>
        </w:rPr>
        <w:t>R$ 100.000,00</w:t>
      </w:r>
      <w:r>
        <w:rPr>
          <w:rFonts w:ascii="Times New Roman" w:hAnsi="Times New Roman"/>
        </w:rPr>
        <w:t xml:space="preserve"> classificada como </w:t>
      </w:r>
      <w:r>
        <w:rPr>
          <w:rFonts w:ascii="Times New Roman" w:hAnsi="Times New Roman"/>
          <w:b/>
        </w:rPr>
        <w:t>"Possível"</w:t>
      </w:r>
      <w:r>
        <w:rPr>
          <w:rFonts w:ascii="Times New Roman" w:hAnsi="Times New Roman"/>
        </w:rPr>
        <w:t xml:space="preserve"> (com 30% de chance de perda) demandaria uma alocação técnica de </w:t>
      </w:r>
      <w:r>
        <w:rPr>
          <w:rFonts w:ascii="Times New Roman" w:hAnsi="Times New Roman"/>
          <w:b/>
        </w:rPr>
        <w:t>R$ 30.000,00</w:t>
      </w:r>
      <w:r>
        <w:rPr>
          <w:rFonts w:ascii="Times New Roman" w:hAnsi="Times New Roman"/>
        </w:rPr>
        <w:t xml:space="preserve"> na Reserva de Contingência.</w:t>
      </w:r>
    </w:p>
    <w:p w14:paraId="67CE12EA" w14:textId="77777777" w:rsidR="00B545D2" w:rsidRDefault="00B545D2">
      <w:pPr>
        <w:pStyle w:val="Horizontal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B887A7" w14:textId="77777777" w:rsidR="00B545D2" w:rsidRDefault="00000000">
      <w:pPr>
        <w:pStyle w:val="Ttulo3"/>
        <w:spacing w:before="0" w:after="140"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Tabela de Apoio para a Equipe Técnica </w:t>
      </w:r>
    </w:p>
    <w:p w14:paraId="2D38FA0B" w14:textId="77777777" w:rsidR="00B545D2" w:rsidRDefault="00000000">
      <w:pPr>
        <w:pStyle w:val="Corpodetexto"/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>Esta tabela individualizada permite que a gestão aprenda ao calibrar a reserva de contingência do orçamento de um ano para o outro:</w:t>
      </w:r>
    </w:p>
    <w:p w14:paraId="7DDD52CE" w14:textId="77777777" w:rsidR="00B545D2" w:rsidRDefault="00B545D2">
      <w:pPr>
        <w:pStyle w:val="Corpodetexto"/>
        <w:spacing w:line="273" w:lineRule="auto"/>
        <w:rPr>
          <w:rFonts w:ascii="Times New Roman" w:hAnsi="Times New Roman"/>
        </w:rPr>
      </w:pPr>
    </w:p>
    <w:p w14:paraId="2EBEAEBC" w14:textId="77777777" w:rsidR="00B545D2" w:rsidRDefault="00B545D2">
      <w:pPr>
        <w:pStyle w:val="Corpodetexto"/>
        <w:spacing w:line="273" w:lineRule="auto"/>
        <w:rPr>
          <w:rFonts w:ascii="Times New Roman" w:hAnsi="Times New Roman"/>
        </w:rPr>
      </w:pPr>
    </w:p>
    <w:p w14:paraId="64422C8D" w14:textId="77777777" w:rsidR="00B545D2" w:rsidRDefault="00000000">
      <w:pPr>
        <w:pStyle w:val="Ttulo3"/>
        <w:spacing w:before="0" w:after="140" w:line="273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Matriz de Riscos Fiscais</w:t>
      </w:r>
    </w:p>
    <w:tbl>
      <w:tblPr>
        <w:tblW w:w="8503" w:type="dxa"/>
        <w:tblCellMar>
          <w:top w:w="240" w:type="dxa"/>
          <w:left w:w="28" w:type="dxa"/>
          <w:bottom w:w="240" w:type="dxa"/>
          <w:right w:w="180" w:type="dxa"/>
        </w:tblCellMar>
        <w:tblLook w:val="04A0" w:firstRow="1" w:lastRow="0" w:firstColumn="1" w:lastColumn="0" w:noHBand="0" w:noVBand="1"/>
      </w:tblPr>
      <w:tblGrid>
        <w:gridCol w:w="2054"/>
        <w:gridCol w:w="1760"/>
        <w:gridCol w:w="2493"/>
        <w:gridCol w:w="2196"/>
      </w:tblGrid>
      <w:tr w:rsidR="00B545D2" w14:paraId="428AF8DE" w14:textId="77777777">
        <w:trPr>
          <w:tblHeader/>
        </w:trPr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3F749" w14:textId="77777777" w:rsidR="00B545D2" w:rsidRDefault="00000000">
            <w:pPr>
              <w:pStyle w:val="TableContents"/>
              <w:spacing w:after="0" w:line="273" w:lineRule="auto"/>
            </w:pPr>
            <w:r>
              <w:rPr>
                <w:rStyle w:val="StrongEmphasis"/>
                <w:rFonts w:ascii="Times New Roman" w:hAnsi="Times New Roman"/>
                <w:color w:val="1F1F1F"/>
              </w:rPr>
              <w:t>Evento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29218" w14:textId="77777777" w:rsidR="00B545D2" w:rsidRDefault="00000000">
            <w:pPr>
              <w:pStyle w:val="TableContents"/>
              <w:spacing w:after="0" w:line="273" w:lineRule="auto"/>
            </w:pPr>
            <w:r>
              <w:rPr>
                <w:rStyle w:val="StrongEmphasis"/>
                <w:rFonts w:ascii="Times New Roman" w:hAnsi="Times New Roman"/>
                <w:color w:val="1F1F1F"/>
              </w:rPr>
              <w:t>Valor do Risco (R$)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B961D" w14:textId="77777777" w:rsidR="00B545D2" w:rsidRDefault="00000000">
            <w:pPr>
              <w:pStyle w:val="TableContents"/>
              <w:spacing w:after="0" w:line="273" w:lineRule="auto"/>
            </w:pPr>
            <w:r>
              <w:rPr>
                <w:rStyle w:val="StrongEmphasis"/>
                <w:rFonts w:ascii="Times New Roman" w:hAnsi="Times New Roman"/>
                <w:color w:val="1F1F1F"/>
              </w:rPr>
              <w:t>Probabilidade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14:paraId="1BCA7F86" w14:textId="77777777" w:rsidR="00B545D2" w:rsidRDefault="00000000">
            <w:pPr>
              <w:pStyle w:val="TableContents"/>
              <w:spacing w:after="0" w:line="273" w:lineRule="auto"/>
            </w:pPr>
            <w:r>
              <w:rPr>
                <w:rStyle w:val="StrongEmphasis"/>
                <w:rFonts w:ascii="Times New Roman" w:hAnsi="Times New Roman"/>
                <w:color w:val="1F1F1F"/>
              </w:rPr>
              <w:t>Reserva Sugerida</w:t>
            </w:r>
          </w:p>
        </w:tc>
      </w:tr>
      <w:tr w:rsidR="00B545D2" w14:paraId="3AF2DCEA" w14:textId="77777777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A3789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Ação Trabalhista 001/2025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16946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200.000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0687D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Provável (80%)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14:paraId="4E5556E1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160.000</w:t>
            </w:r>
          </w:p>
        </w:tc>
      </w:tr>
      <w:tr w:rsidR="00B545D2" w14:paraId="4249565E" w14:textId="77777777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1DB6C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Ação Trabalhista 002/2025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B6C9D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200.000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2AD96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Possível (10%)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14:paraId="2A6A1235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20.000</w:t>
            </w:r>
          </w:p>
        </w:tc>
      </w:tr>
      <w:tr w:rsidR="00B545D2" w14:paraId="0DEF18E1" w14:textId="77777777">
        <w:tc>
          <w:tcPr>
            <w:tcW w:w="2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334B2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Desonerações Fiscais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9590B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50.000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9E6AC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Possível (25%)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14:paraId="108308A3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12.500</w:t>
            </w:r>
          </w:p>
        </w:tc>
      </w:tr>
      <w:tr w:rsidR="00B545D2" w14:paraId="3D9F70A9" w14:textId="77777777"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A240A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Queda de Arrecadação no ICMS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5653B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100.000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95ADC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Possível (50%)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14:paraId="4B4F55E8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50.000</w:t>
            </w:r>
          </w:p>
        </w:tc>
      </w:tr>
      <w:tr w:rsidR="00B545D2" w14:paraId="3C58F7C3" w14:textId="77777777">
        <w:tc>
          <w:tcPr>
            <w:tcW w:w="2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1D2E5" w14:textId="77777777" w:rsidR="00B545D2" w:rsidRDefault="00000000">
            <w:pPr>
              <w:pStyle w:val="TableContents"/>
              <w:spacing w:after="0" w:line="273" w:lineRule="auto"/>
            </w:pPr>
            <w:r>
              <w:rPr>
                <w:rFonts w:ascii="Times New Roman" w:hAnsi="Times New Roman"/>
                <w:color w:val="1F1F1F"/>
              </w:rPr>
              <w:t>Queda de Arrecadação no ISSQN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46A51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50.000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F7812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Possível (50%)</w:t>
            </w:r>
          </w:p>
        </w:tc>
        <w:tc>
          <w:tcPr>
            <w:tcW w:w="2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 w14:paraId="77CE31CA" w14:textId="77777777" w:rsidR="00B545D2" w:rsidRDefault="00000000">
            <w:pPr>
              <w:pStyle w:val="TableContents"/>
              <w:spacing w:after="0" w:line="273" w:lineRule="auto"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25.000</w:t>
            </w:r>
          </w:p>
        </w:tc>
      </w:tr>
    </w:tbl>
    <w:p w14:paraId="3C25C48A" w14:textId="77777777" w:rsidR="00B545D2" w:rsidRDefault="00B5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F1ADAA" w14:textId="77777777" w:rsidR="00B545D2" w:rsidRDefault="00B5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A009D5" w14:textId="77777777" w:rsidR="00B545D2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Propomos o uso já em 2026 como um período de aprendizado prático, para que a prefeitura possa colher os dados necessários e chegar em 2027 com um processo de mensuração da reserva de contingência já amadurecido e menos oneroso para os envolvidos.</w:t>
      </w:r>
    </w:p>
    <w:p w14:paraId="250B98BD" w14:textId="7B79291E" w:rsidR="00B545D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Gestão moderna substitui o "sempre foi assim" por evidências.</w:t>
      </w:r>
    </w:p>
    <w:p w14:paraId="48EF4481" w14:textId="77777777" w:rsidR="00B545D2" w:rsidRDefault="00B545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23EB65" w14:textId="77777777" w:rsidR="00B545D2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 Lemos, 30 de março de 2026.</w:t>
      </w:r>
    </w:p>
    <w:p w14:paraId="630A560F" w14:textId="77777777" w:rsidR="00B545D2" w:rsidRDefault="00B545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46B85" w14:textId="77777777" w:rsidR="00B545D2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EEDA0A3" w14:textId="77777777" w:rsidR="00B545D2" w:rsidRDefault="000000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D386674" w14:textId="77777777" w:rsidR="00B545D2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37BF56CB" w14:textId="77777777" w:rsidR="00B545D2" w:rsidRDefault="0000000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B545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FE84" w14:textId="77777777" w:rsidR="00A60543" w:rsidRDefault="00A60543">
      <w:pPr>
        <w:spacing w:after="0" w:line="240" w:lineRule="auto"/>
      </w:pPr>
      <w:r>
        <w:separator/>
      </w:r>
    </w:p>
  </w:endnote>
  <w:endnote w:type="continuationSeparator" w:id="0">
    <w:p w14:paraId="25860004" w14:textId="77777777" w:rsidR="00A60543" w:rsidRDefault="00A6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oogle Sans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7ED2" w14:textId="77777777" w:rsidR="00B545D2" w:rsidRDefault="0000000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  <w:p w14:paraId="68C10492" w14:textId="77777777" w:rsidR="00B545D2" w:rsidRDefault="00B545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66A7" w14:textId="77777777" w:rsidR="00A60543" w:rsidRDefault="00A60543">
      <w:pPr>
        <w:spacing w:after="0" w:line="240" w:lineRule="auto"/>
      </w:pPr>
      <w:r>
        <w:separator/>
      </w:r>
    </w:p>
  </w:footnote>
  <w:footnote w:type="continuationSeparator" w:id="0">
    <w:p w14:paraId="49EC7820" w14:textId="77777777" w:rsidR="00A60543" w:rsidRDefault="00A6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57D6" w14:textId="77777777" w:rsidR="00B545D2" w:rsidRDefault="00000000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4" behindDoc="0" locked="0" layoutInCell="1" allowOverlap="1" wp14:anchorId="4F31B752" wp14:editId="4152B55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-485" y="0"/>
              <wp:lineTo x="-485" y="20059"/>
              <wp:lineTo x="20918" y="20059"/>
              <wp:lineTo x="20918" y="0"/>
              <wp:lineTo x="-485" y="0"/>
            </wp:wrapPolygon>
          </wp:wrapTight>
          <wp:docPr id="1" name="Imagem 3" descr="Imagem relacio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agem relacio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8486E1" w14:textId="77777777" w:rsidR="00B545D2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65375348" w14:textId="77777777" w:rsidR="00B545D2" w:rsidRDefault="00000000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1682E06D" w14:textId="77777777" w:rsidR="00B545D2" w:rsidRDefault="00B545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847"/>
    <w:multiLevelType w:val="multilevel"/>
    <w:tmpl w:val="0D20FF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6D90825"/>
    <w:multiLevelType w:val="multilevel"/>
    <w:tmpl w:val="41281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188126">
    <w:abstractNumId w:val="0"/>
  </w:num>
  <w:num w:numId="2" w16cid:durableId="204219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D2"/>
    <w:rsid w:val="002342BF"/>
    <w:rsid w:val="002873F7"/>
    <w:rsid w:val="00A60543"/>
    <w:rsid w:val="00B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4B28"/>
  <w15:docId w15:val="{97A7DD54-CBD9-4212-8136-6D9A4065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  <w:pPr>
      <w:spacing w:after="160" w:line="259" w:lineRule="auto"/>
    </w:pPr>
    <w:rPr>
      <w:sz w:val="22"/>
    </w:rPr>
  </w:style>
  <w:style w:type="paragraph" w:styleId="Ttulo2">
    <w:name w:val="heading 2"/>
    <w:basedOn w:val="Heading"/>
    <w:next w:val="Corpodetexto"/>
    <w:qFormat/>
    <w:pPr>
      <w:spacing w:before="200"/>
      <w:outlineLvl w:val="1"/>
    </w:pPr>
    <w:rPr>
      <w:rFonts w:ascii="Liberation Serif" w:eastAsia="DejaVu Sans" w:hAnsi="Liberation Serif" w:cs="Noto Sans Arabic UI"/>
      <w:b/>
      <w:bCs/>
      <w:sz w:val="36"/>
      <w:szCs w:val="36"/>
    </w:rPr>
  </w:style>
  <w:style w:type="paragraph" w:styleId="Ttulo3">
    <w:name w:val="heading 3"/>
    <w:basedOn w:val="Heading"/>
    <w:next w:val="Corpodetexto"/>
    <w:qFormat/>
    <w:pPr>
      <w:spacing w:before="140"/>
      <w:outlineLvl w:val="2"/>
    </w:pPr>
    <w:rPr>
      <w:rFonts w:ascii="Liberation Serif" w:eastAsia="DejaVu Sans" w:hAnsi="Liberation Serif" w:cs="Noto Sans Arabic U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923AC"/>
    <w:rPr>
      <w:sz w:val="20"/>
      <w:szCs w:val="20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923AC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10"/>
    <w:qFormat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abealhoChar">
    <w:name w:val="Cabeçalho Char"/>
    <w:basedOn w:val="Fontepargpadro"/>
    <w:link w:val="Cabealho"/>
    <w:qFormat/>
    <w:rsid w:val="00217B8B"/>
  </w:style>
  <w:style w:type="character" w:customStyle="1" w:styleId="RodapChar">
    <w:name w:val="Rodapé Char"/>
    <w:basedOn w:val="Fontepargpadro"/>
    <w:link w:val="Rodap"/>
    <w:uiPriority w:val="99"/>
    <w:qFormat/>
    <w:rsid w:val="00217B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7F1279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27C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orizontalLine">
    <w:name w:val="Horizontal Line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721</Words>
  <Characters>3898</Characters>
  <Application>Microsoft Office Word</Application>
  <DocSecurity>0</DocSecurity>
  <Lines>32</Lines>
  <Paragraphs>9</Paragraphs>
  <ScaleCrop>false</ScaleCrop>
  <Company>Secretaria de Estado de Educação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dc:description/>
  <cp:lastModifiedBy>Camara Municipal</cp:lastModifiedBy>
  <cp:revision>2</cp:revision>
  <cp:lastPrinted>2025-02-19T18:49:00Z</cp:lastPrinted>
  <dcterms:created xsi:type="dcterms:W3CDTF">2026-03-31T19:22:00Z</dcterms:created>
  <dcterms:modified xsi:type="dcterms:W3CDTF">2026-03-31T19:22:00Z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Secretaria de Estado de Educação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